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4D8C18B" w14:textId="77777777" w:rsidR="00252488" w:rsidRDefault="00503557">
      <w:pPr>
        <w:spacing w:line="360" w:lineRule="auto"/>
        <w:rPr>
          <w:rFonts w:ascii="Arial" w:hAnsi="Arial"/>
          <w:b/>
          <w:sz w:val="28"/>
          <w:szCs w:val="28"/>
        </w:rPr>
      </w:pPr>
      <w:r>
        <w:rPr>
          <w:rFonts w:ascii="Arial" w:hAnsi="Arial"/>
          <w:b/>
          <w:sz w:val="28"/>
          <w:szCs w:val="28"/>
        </w:rPr>
        <w:t>Warnung vor zu hoher Dosisleistung im Einsatz</w:t>
      </w:r>
    </w:p>
    <w:p w14:paraId="6A85D54C" w14:textId="77777777" w:rsidR="00252488" w:rsidRDefault="00252488">
      <w:pPr>
        <w:spacing w:line="360" w:lineRule="auto"/>
        <w:rPr>
          <w:rFonts w:ascii="Arial" w:eastAsia="ArialMT" w:hAnsi="Arial" w:cs="Arial"/>
          <w:sz w:val="22"/>
          <w:szCs w:val="22"/>
        </w:rPr>
      </w:pPr>
    </w:p>
    <w:p w14:paraId="2B54C2B7" w14:textId="77777777" w:rsidR="00252488" w:rsidRDefault="00503557">
      <w:pPr>
        <w:spacing w:line="360" w:lineRule="auto"/>
        <w:rPr>
          <w:rFonts w:ascii="Arial" w:eastAsia="ArialMT" w:hAnsi="Arial" w:cs="Arial"/>
          <w:sz w:val="22"/>
          <w:szCs w:val="22"/>
        </w:rPr>
      </w:pPr>
      <w:r>
        <w:rPr>
          <w:rFonts w:ascii="Arial" w:eastAsia="ArialMT" w:hAnsi="Arial" w:cs="Arial"/>
          <w:sz w:val="22"/>
          <w:szCs w:val="22"/>
        </w:rPr>
        <w:t>Die Beurteilung von Gefahren beispielsweise bei Unfällen oder Bränden gehört zu den schwierigsten Aufgaben für die Einsatzkräfte bei Feuerwehr und Katastrophenschutz. Dies gilt im besonderen Maße für Radioaktivität, da der Mensch über keine Sinnesorgane ve</w:t>
      </w:r>
      <w:r>
        <w:rPr>
          <w:rFonts w:ascii="Arial" w:eastAsia="ArialMT" w:hAnsi="Arial" w:cs="Arial"/>
          <w:sz w:val="22"/>
          <w:szCs w:val="22"/>
        </w:rPr>
        <w:t xml:space="preserve">rfügt, mit denen er diese direkt wahrnehmen könnte. Mess- und Warngeräte, wie die neue Dosisleistungswarnleuchte </w:t>
      </w:r>
      <w:proofErr w:type="spellStart"/>
      <w:r>
        <w:rPr>
          <w:rFonts w:ascii="Arial" w:eastAsia="ArialMT" w:hAnsi="Arial" w:cs="Arial"/>
          <w:sz w:val="22"/>
          <w:szCs w:val="22"/>
        </w:rPr>
        <w:t>GammaFlash</w:t>
      </w:r>
      <w:proofErr w:type="spellEnd"/>
      <w:r>
        <w:rPr>
          <w:rFonts w:ascii="Arial" w:eastAsia="ArialMT" w:hAnsi="Arial" w:cs="Arial"/>
          <w:sz w:val="22"/>
          <w:szCs w:val="22"/>
        </w:rPr>
        <w:t xml:space="preserve"> von GRAETZ </w:t>
      </w:r>
      <w:proofErr w:type="spellStart"/>
      <w:r>
        <w:rPr>
          <w:rFonts w:ascii="Arial" w:eastAsia="ArialMT" w:hAnsi="Arial" w:cs="Arial"/>
          <w:sz w:val="22"/>
          <w:szCs w:val="22"/>
        </w:rPr>
        <w:t>Strahlungsmeßtechnik</w:t>
      </w:r>
      <w:proofErr w:type="spellEnd"/>
      <w:r>
        <w:rPr>
          <w:rFonts w:ascii="Arial" w:eastAsia="ArialMT" w:hAnsi="Arial" w:cs="Arial"/>
          <w:sz w:val="22"/>
          <w:szCs w:val="22"/>
        </w:rPr>
        <w:t xml:space="preserve"> GmbH, sind deswegen für Rettungskräfte unverzichtbare Hilfsmittel. Die </w:t>
      </w:r>
      <w:proofErr w:type="spellStart"/>
      <w:r>
        <w:rPr>
          <w:rFonts w:ascii="Arial" w:eastAsia="ArialMT" w:hAnsi="Arial" w:cs="Arial"/>
          <w:sz w:val="22"/>
          <w:szCs w:val="22"/>
        </w:rPr>
        <w:t>GammaFlash</w:t>
      </w:r>
      <w:proofErr w:type="spellEnd"/>
      <w:r>
        <w:rPr>
          <w:rFonts w:ascii="Arial" w:eastAsia="ArialMT" w:hAnsi="Arial" w:cs="Arial"/>
          <w:sz w:val="22"/>
          <w:szCs w:val="22"/>
        </w:rPr>
        <w:t xml:space="preserve"> ist batteriebetrie</w:t>
      </w:r>
      <w:r>
        <w:rPr>
          <w:rFonts w:ascii="Arial" w:eastAsia="ArialMT" w:hAnsi="Arial" w:cs="Arial"/>
          <w:sz w:val="22"/>
          <w:szCs w:val="22"/>
        </w:rPr>
        <w:t xml:space="preserve">ben und mit ihrem robusten Design in einem strahlwasserdichten sowie </w:t>
      </w:r>
      <w:proofErr w:type="spellStart"/>
      <w:r>
        <w:rPr>
          <w:rFonts w:ascii="Arial" w:eastAsia="ArialMT" w:hAnsi="Arial" w:cs="Arial"/>
          <w:sz w:val="22"/>
          <w:szCs w:val="22"/>
        </w:rPr>
        <w:t>öl</w:t>
      </w:r>
      <w:proofErr w:type="spellEnd"/>
      <w:r>
        <w:rPr>
          <w:rFonts w:ascii="Arial" w:eastAsia="ArialMT" w:hAnsi="Arial" w:cs="Arial"/>
          <w:sz w:val="22"/>
          <w:szCs w:val="22"/>
        </w:rPr>
        <w:t>- und benzinbeständigen Kunststoffgehäuse optimal für raue Einsatzbedingungen geeignet. Das Gerät detektiert Gamma- und Röntgenstrahlung und signalisiert in der Standardversion ein Übe</w:t>
      </w:r>
      <w:r>
        <w:rPr>
          <w:rFonts w:ascii="Arial" w:eastAsia="ArialMT" w:hAnsi="Arial" w:cs="Arial"/>
          <w:sz w:val="22"/>
          <w:szCs w:val="22"/>
        </w:rPr>
        <w:t xml:space="preserve">rschreiten der Dosisleistungswarnschwelle von 25 </w:t>
      </w:r>
      <w:proofErr w:type="spellStart"/>
      <w:r>
        <w:rPr>
          <w:rFonts w:ascii="Arial" w:eastAsia="ArialMT" w:hAnsi="Arial" w:cs="Arial"/>
          <w:sz w:val="22"/>
          <w:szCs w:val="22"/>
        </w:rPr>
        <w:t>μSv</w:t>
      </w:r>
      <w:proofErr w:type="spellEnd"/>
      <w:r>
        <w:rPr>
          <w:rFonts w:ascii="Arial" w:eastAsia="ArialMT" w:hAnsi="Arial" w:cs="Arial"/>
          <w:sz w:val="22"/>
          <w:szCs w:val="22"/>
        </w:rPr>
        <w:t>/h mit einem akustischen und optischen Alarm. Die Warnschwelle entspricht der Grenze eines Gefahrenbereichs bei Feuerwehreinsätzen gemäß der aktuellen Feuerwehr-Dienstvorschrift 500 (</w:t>
      </w:r>
      <w:proofErr w:type="spellStart"/>
      <w:r>
        <w:rPr>
          <w:rFonts w:ascii="Arial" w:eastAsia="ArialMT" w:hAnsi="Arial" w:cs="Arial"/>
          <w:sz w:val="22"/>
          <w:szCs w:val="22"/>
        </w:rPr>
        <w:t>FwDV</w:t>
      </w:r>
      <w:proofErr w:type="spellEnd"/>
      <w:r>
        <w:rPr>
          <w:rFonts w:ascii="Arial" w:eastAsia="ArialMT" w:hAnsi="Arial" w:cs="Arial"/>
          <w:sz w:val="22"/>
          <w:szCs w:val="22"/>
        </w:rPr>
        <w:t xml:space="preserve"> 500). Für andere</w:t>
      </w:r>
      <w:r>
        <w:rPr>
          <w:rFonts w:ascii="Arial" w:eastAsia="ArialMT" w:hAnsi="Arial" w:cs="Arial"/>
          <w:sz w:val="22"/>
          <w:szCs w:val="22"/>
        </w:rPr>
        <w:t xml:space="preserve"> Anwendungen ist optional auch eine andere Warnschwelle zwischen 7,5 </w:t>
      </w:r>
      <w:proofErr w:type="spellStart"/>
      <w:r>
        <w:rPr>
          <w:rFonts w:ascii="Arial" w:eastAsia="ArialMT" w:hAnsi="Arial" w:cs="Arial"/>
          <w:sz w:val="22"/>
          <w:szCs w:val="22"/>
        </w:rPr>
        <w:t>μSv</w:t>
      </w:r>
      <w:proofErr w:type="spellEnd"/>
      <w:r>
        <w:rPr>
          <w:rFonts w:ascii="Arial" w:eastAsia="ArialMT" w:hAnsi="Arial" w:cs="Arial"/>
          <w:sz w:val="22"/>
          <w:szCs w:val="22"/>
        </w:rPr>
        <w:t xml:space="preserve">/h und 10 </w:t>
      </w:r>
      <w:proofErr w:type="spellStart"/>
      <w:r>
        <w:rPr>
          <w:rFonts w:ascii="Arial" w:eastAsia="ArialMT" w:hAnsi="Arial" w:cs="Arial"/>
          <w:sz w:val="22"/>
          <w:szCs w:val="22"/>
        </w:rPr>
        <w:t>mSv</w:t>
      </w:r>
      <w:proofErr w:type="spellEnd"/>
      <w:r>
        <w:rPr>
          <w:rFonts w:ascii="Arial" w:eastAsia="ArialMT" w:hAnsi="Arial" w:cs="Arial"/>
          <w:sz w:val="22"/>
          <w:szCs w:val="22"/>
        </w:rPr>
        <w:t xml:space="preserve">/h ab Werk realisierbar. </w:t>
      </w:r>
    </w:p>
    <w:p w14:paraId="6DBEB4DA" w14:textId="77777777" w:rsidR="00252488" w:rsidRDefault="00252488">
      <w:pPr>
        <w:spacing w:line="360" w:lineRule="auto"/>
        <w:rPr>
          <w:rFonts w:ascii="Arial" w:eastAsia="ArialMT" w:hAnsi="Arial" w:cs="Arial"/>
          <w:sz w:val="22"/>
          <w:szCs w:val="22"/>
        </w:rPr>
      </w:pPr>
    </w:p>
    <w:p w14:paraId="482D0F3F" w14:textId="77777777" w:rsidR="00252488" w:rsidRDefault="00503557">
      <w:pPr>
        <w:spacing w:line="360" w:lineRule="auto"/>
        <w:rPr>
          <w:rFonts w:ascii="Arial" w:eastAsia="ArialMT" w:hAnsi="Arial" w:cs="Arial"/>
          <w:sz w:val="22"/>
          <w:szCs w:val="22"/>
        </w:rPr>
      </w:pPr>
      <w:r>
        <w:rPr>
          <w:rFonts w:ascii="Arial" w:eastAsia="ArialMT" w:hAnsi="Arial" w:cs="Arial"/>
          <w:sz w:val="22"/>
          <w:szCs w:val="22"/>
        </w:rPr>
        <w:t xml:space="preserve">Das Gerät ist mit seinen Abmaßen von 86 x 54 mm sehr kompakt und einfach zu bedienen: Die Öffnung des Geräts zur Inbetriebnahme erfolgt </w:t>
      </w:r>
      <w:proofErr w:type="gramStart"/>
      <w:r>
        <w:rPr>
          <w:rFonts w:ascii="Arial" w:eastAsia="ArialMT" w:hAnsi="Arial" w:cs="Arial"/>
          <w:sz w:val="22"/>
          <w:szCs w:val="22"/>
        </w:rPr>
        <w:t xml:space="preserve">mittels </w:t>
      </w:r>
      <w:r>
        <w:rPr>
          <w:rFonts w:ascii="Arial" w:eastAsia="ArialMT" w:hAnsi="Arial" w:cs="Arial"/>
          <w:sz w:val="22"/>
          <w:szCs w:val="22"/>
        </w:rPr>
        <w:t>Bajonettverschluss</w:t>
      </w:r>
      <w:proofErr w:type="gramEnd"/>
      <w:r>
        <w:rPr>
          <w:rFonts w:ascii="Arial" w:eastAsia="ArialMT" w:hAnsi="Arial" w:cs="Arial"/>
          <w:sz w:val="22"/>
          <w:szCs w:val="22"/>
        </w:rPr>
        <w:t xml:space="preserve">, der auch mit Feuerwehrhandschuhen einfach zu handhaben ist. An der Gehäuseunterseite ist ein Magnet integriert, mit dem sich die </w:t>
      </w:r>
      <w:proofErr w:type="spellStart"/>
      <w:r>
        <w:rPr>
          <w:rFonts w:ascii="Arial" w:eastAsia="ArialMT" w:hAnsi="Arial" w:cs="Arial"/>
          <w:sz w:val="22"/>
          <w:szCs w:val="22"/>
        </w:rPr>
        <w:t>GammaFlash</w:t>
      </w:r>
      <w:proofErr w:type="spellEnd"/>
      <w:r>
        <w:rPr>
          <w:rFonts w:ascii="Arial" w:eastAsia="ArialMT" w:hAnsi="Arial" w:cs="Arial"/>
          <w:sz w:val="22"/>
          <w:szCs w:val="22"/>
        </w:rPr>
        <w:t xml:space="preserve"> ganz einfach an geeigneten Metalloberflächen befestigen lässt. Unterhalb der Warnschwelle zeigt </w:t>
      </w:r>
      <w:r>
        <w:rPr>
          <w:rFonts w:ascii="Arial" w:eastAsia="ArialMT" w:hAnsi="Arial" w:cs="Arial"/>
          <w:sz w:val="22"/>
          <w:szCs w:val="22"/>
        </w:rPr>
        <w:t xml:space="preserve">die </w:t>
      </w:r>
      <w:proofErr w:type="spellStart"/>
      <w:r>
        <w:rPr>
          <w:rFonts w:ascii="Arial" w:eastAsia="ArialMT" w:hAnsi="Arial" w:cs="Arial"/>
          <w:sz w:val="22"/>
          <w:szCs w:val="22"/>
        </w:rPr>
        <w:t>GammaFlash</w:t>
      </w:r>
      <w:proofErr w:type="spellEnd"/>
      <w:r>
        <w:rPr>
          <w:rFonts w:ascii="Arial" w:eastAsia="ArialMT" w:hAnsi="Arial" w:cs="Arial"/>
          <w:b/>
          <w:bCs/>
          <w:sz w:val="22"/>
          <w:szCs w:val="22"/>
        </w:rPr>
        <w:t xml:space="preserve"> </w:t>
      </w:r>
      <w:r>
        <w:rPr>
          <w:rFonts w:ascii="Arial" w:eastAsia="ArialMT" w:hAnsi="Arial" w:cs="Arial"/>
          <w:sz w:val="22"/>
          <w:szCs w:val="22"/>
        </w:rPr>
        <w:t xml:space="preserve">über eine rote LED die Funktionsbereitschaft und den Batteriezustand an. Eine optische Einzelimpulsanzeige signalisiert eine Zu- bzw. Abnahme der Dosisleistung durch Veränderung der Blinkfrequenz. Im Alarmfall kann der akustische Alarm über </w:t>
      </w:r>
      <w:r>
        <w:rPr>
          <w:rFonts w:ascii="Arial" w:eastAsia="ArialMT" w:hAnsi="Arial" w:cs="Arial"/>
          <w:sz w:val="22"/>
          <w:szCs w:val="22"/>
        </w:rPr>
        <w:t xml:space="preserve">einen Drucktaster quittiert und damit stumm geschaltet werden. Die Feuerwehrversion des neuen Dosisleistungswarngeräts ist ab Lager </w:t>
      </w:r>
      <w:r>
        <w:rPr>
          <w:rFonts w:ascii="Arial" w:eastAsia="ArialMT" w:hAnsi="Arial" w:cs="Arial"/>
          <w:sz w:val="22"/>
          <w:szCs w:val="22"/>
        </w:rPr>
        <w:lastRenderedPageBreak/>
        <w:t>lieferbar; der Gehäusedeckel kann optional auch kundenspezifisch, wie z. B. für die Feuerwehr Hamburg, beschriftet werden.</w:t>
      </w:r>
    </w:p>
    <w:p w14:paraId="03AECE10" w14:textId="77777777" w:rsidR="00252488" w:rsidRDefault="00252488">
      <w:pPr>
        <w:spacing w:line="360" w:lineRule="auto"/>
        <w:rPr>
          <w:rFonts w:ascii="Arial" w:eastAsia="ArialMT" w:hAnsi="Arial" w:cs="Arial"/>
          <w:sz w:val="22"/>
          <w:szCs w:val="22"/>
        </w:rPr>
      </w:pPr>
    </w:p>
    <w:p w14:paraId="6423FE0C" w14:textId="77777777" w:rsidR="00252488" w:rsidRDefault="00252488">
      <w:pPr>
        <w:spacing w:line="360" w:lineRule="auto"/>
        <w:rPr>
          <w:rFonts w:ascii="Arial" w:eastAsia="ArialMT" w:hAnsi="Arial" w:cs="Arial"/>
          <w:sz w:val="22"/>
          <w:szCs w:val="22"/>
        </w:rPr>
      </w:pPr>
    </w:p>
    <w:p w14:paraId="53D60214" w14:textId="77777777" w:rsidR="00252488" w:rsidRDefault="00503557">
      <w:pPr>
        <w:suppressAutoHyphens w:val="0"/>
        <w:spacing w:before="113" w:line="360" w:lineRule="auto"/>
        <w:jc w:val="both"/>
        <w:rPr>
          <w:rFonts w:ascii="Arial" w:eastAsia="ArialMT" w:hAnsi="Arial" w:cs="Arial"/>
          <w:b/>
          <w:sz w:val="22"/>
          <w:szCs w:val="22"/>
        </w:rPr>
      </w:pPr>
      <w:r>
        <w:rPr>
          <w:rFonts w:ascii="Arial" w:eastAsia="ArialMT" w:hAnsi="Arial" w:cs="Arial"/>
          <w:b/>
          <w:sz w:val="22"/>
          <w:szCs w:val="22"/>
        </w:rPr>
        <w:t xml:space="preserve">Bildmaterial </w:t>
      </w:r>
    </w:p>
    <w:p w14:paraId="541A8C6F" w14:textId="77777777" w:rsidR="00252488" w:rsidRDefault="00503557">
      <w:pPr>
        <w:suppressAutoHyphens w:val="0"/>
        <w:spacing w:before="113" w:line="360" w:lineRule="auto"/>
        <w:jc w:val="both"/>
        <w:rPr>
          <w:rFonts w:ascii="Arial" w:eastAsia="ArialMT" w:hAnsi="Arial" w:cs="Arial"/>
          <w:b/>
          <w:sz w:val="22"/>
          <w:szCs w:val="22"/>
          <w:lang w:val="fr-FR"/>
        </w:rPr>
      </w:pPr>
      <w:r>
        <w:rPr>
          <w:noProof/>
        </w:rPr>
        <w:drawing>
          <wp:anchor distT="0" distB="0" distL="0" distR="0" simplePos="0" relativeHeight="5" behindDoc="0" locked="0" layoutInCell="0" allowOverlap="1" wp14:anchorId="513E7158" wp14:editId="638F1A67">
            <wp:simplePos x="0" y="0"/>
            <wp:positionH relativeFrom="column">
              <wp:posOffset>-19685</wp:posOffset>
            </wp:positionH>
            <wp:positionV relativeFrom="paragraph">
              <wp:posOffset>151765</wp:posOffset>
            </wp:positionV>
            <wp:extent cx="2531110" cy="2531110"/>
            <wp:effectExtent l="0" t="0" r="0" b="0"/>
            <wp:wrapSquare wrapText="largest"/>
            <wp:docPr id="1"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2"/>
                    <pic:cNvPicPr>
                      <a:picLocks noChangeAspect="1" noChangeArrowheads="1"/>
                    </pic:cNvPicPr>
                  </pic:nvPicPr>
                  <pic:blipFill>
                    <a:blip r:embed="rId7"/>
                    <a:stretch>
                      <a:fillRect/>
                    </a:stretch>
                  </pic:blipFill>
                  <pic:spPr bwMode="auto">
                    <a:xfrm>
                      <a:off x="0" y="0"/>
                      <a:ext cx="2531110" cy="2531110"/>
                    </a:xfrm>
                    <a:prstGeom prst="rect">
                      <a:avLst/>
                    </a:prstGeom>
                  </pic:spPr>
                </pic:pic>
              </a:graphicData>
            </a:graphic>
          </wp:anchor>
        </w:drawing>
      </w:r>
      <w:r>
        <w:rPr>
          <w:lang w:val="fr-FR"/>
        </w:rPr>
        <w:t xml:space="preserve"> </w:t>
      </w:r>
      <w:r>
        <w:rPr>
          <w:lang w:val="fr-FR"/>
        </w:rPr>
        <w:br/>
      </w:r>
    </w:p>
    <w:p w14:paraId="198A6FFE" w14:textId="77777777" w:rsidR="00252488" w:rsidRDefault="00252488">
      <w:pPr>
        <w:suppressAutoHyphens w:val="0"/>
        <w:spacing w:before="113" w:line="360" w:lineRule="auto"/>
        <w:jc w:val="both"/>
        <w:rPr>
          <w:rFonts w:ascii="Arial" w:eastAsia="ArialMT" w:hAnsi="Arial" w:cs="Arial"/>
          <w:b/>
          <w:sz w:val="22"/>
          <w:szCs w:val="22"/>
          <w:lang w:val="fr-FR"/>
        </w:rPr>
      </w:pPr>
    </w:p>
    <w:p w14:paraId="6EF72BCD" w14:textId="77777777" w:rsidR="00252488" w:rsidRDefault="00252488">
      <w:pPr>
        <w:suppressAutoHyphens w:val="0"/>
        <w:spacing w:before="113" w:line="360" w:lineRule="auto"/>
        <w:jc w:val="both"/>
        <w:rPr>
          <w:rFonts w:ascii="Arial" w:eastAsia="ArialMT" w:hAnsi="Arial" w:cs="Arial"/>
          <w:b/>
          <w:sz w:val="22"/>
          <w:szCs w:val="22"/>
          <w:lang w:val="fr-FR"/>
        </w:rPr>
      </w:pPr>
    </w:p>
    <w:p w14:paraId="1B585115" w14:textId="77777777" w:rsidR="00252488" w:rsidRDefault="00252488">
      <w:pPr>
        <w:suppressAutoHyphens w:val="0"/>
        <w:spacing w:before="113" w:line="360" w:lineRule="auto"/>
        <w:jc w:val="both"/>
        <w:rPr>
          <w:rFonts w:ascii="Arial" w:eastAsia="ArialMT" w:hAnsi="Arial" w:cs="Arial"/>
          <w:b/>
          <w:sz w:val="22"/>
          <w:szCs w:val="22"/>
          <w:lang w:val="fr-FR"/>
        </w:rPr>
      </w:pPr>
    </w:p>
    <w:p w14:paraId="262B64FA" w14:textId="77777777" w:rsidR="00252488" w:rsidRDefault="00252488">
      <w:pPr>
        <w:suppressAutoHyphens w:val="0"/>
        <w:spacing w:before="113" w:line="360" w:lineRule="auto"/>
        <w:jc w:val="both"/>
        <w:rPr>
          <w:rFonts w:ascii="Arial" w:eastAsia="ArialMT" w:hAnsi="Arial" w:cs="Arial"/>
          <w:b/>
          <w:sz w:val="22"/>
          <w:szCs w:val="22"/>
          <w:lang w:val="fr-FR"/>
        </w:rPr>
      </w:pPr>
    </w:p>
    <w:p w14:paraId="69CD9632" w14:textId="77777777" w:rsidR="00252488" w:rsidRDefault="00252488">
      <w:pPr>
        <w:suppressAutoHyphens w:val="0"/>
        <w:spacing w:before="113" w:line="360" w:lineRule="auto"/>
        <w:jc w:val="both"/>
        <w:rPr>
          <w:rFonts w:ascii="Arial" w:eastAsia="ArialMT" w:hAnsi="Arial" w:cs="Arial"/>
          <w:b/>
          <w:sz w:val="22"/>
          <w:szCs w:val="22"/>
          <w:lang w:val="fr-FR"/>
        </w:rPr>
      </w:pPr>
    </w:p>
    <w:p w14:paraId="0F07F208" w14:textId="77777777" w:rsidR="00252488" w:rsidRDefault="00252488">
      <w:pPr>
        <w:suppressAutoHyphens w:val="0"/>
        <w:spacing w:before="113" w:line="360" w:lineRule="auto"/>
        <w:jc w:val="both"/>
        <w:rPr>
          <w:rFonts w:ascii="Arial" w:eastAsia="ArialMT" w:hAnsi="Arial" w:cs="Arial"/>
          <w:b/>
          <w:sz w:val="22"/>
          <w:szCs w:val="22"/>
          <w:lang w:val="fr-FR"/>
        </w:rPr>
      </w:pPr>
    </w:p>
    <w:p w14:paraId="3EDCC5AB" w14:textId="77777777" w:rsidR="00252488" w:rsidRDefault="00252488">
      <w:pPr>
        <w:suppressAutoHyphens w:val="0"/>
        <w:spacing w:before="113" w:line="360" w:lineRule="auto"/>
        <w:jc w:val="both"/>
        <w:rPr>
          <w:rFonts w:ascii="Arial" w:eastAsia="ArialMT" w:hAnsi="Arial" w:cs="Arial"/>
          <w:b/>
          <w:sz w:val="22"/>
          <w:szCs w:val="22"/>
          <w:lang w:val="fr-FR"/>
        </w:rPr>
      </w:pPr>
    </w:p>
    <w:p w14:paraId="369803C5" w14:textId="77777777" w:rsidR="00252488" w:rsidRDefault="00503557">
      <w:pPr>
        <w:suppressAutoHyphens w:val="0"/>
        <w:spacing w:before="113" w:line="360" w:lineRule="auto"/>
        <w:jc w:val="both"/>
        <w:rPr>
          <w:rFonts w:ascii="Arial" w:eastAsia="ArialMT" w:hAnsi="Arial" w:cs="Arial"/>
          <w:b/>
          <w:sz w:val="22"/>
          <w:szCs w:val="22"/>
          <w:lang w:val="fr-FR"/>
        </w:rPr>
      </w:pPr>
      <w:r>
        <w:rPr>
          <w:rFonts w:ascii="Arial" w:eastAsia="ArialMT" w:hAnsi="Arial" w:cs="Arial"/>
          <w:b/>
          <w:color w:val="000000"/>
          <w:sz w:val="22"/>
          <w:szCs w:val="22"/>
          <w:lang w:val="fr-FR"/>
        </w:rPr>
        <w:t>GammaFlash-individuell-3</w:t>
      </w:r>
      <w:r>
        <w:rPr>
          <w:rFonts w:ascii="Arial" w:eastAsia="ArialMT" w:hAnsi="Arial" w:cs="Arial"/>
          <w:b/>
          <w:sz w:val="22"/>
          <w:szCs w:val="22"/>
          <w:lang w:val="fr-FR"/>
        </w:rPr>
        <w:t>.jpg</w:t>
      </w:r>
    </w:p>
    <w:p w14:paraId="00D55D75" w14:textId="77777777" w:rsidR="00252488" w:rsidRDefault="00503557">
      <w:pPr>
        <w:suppressAutoHyphens w:val="0"/>
        <w:spacing w:before="113" w:line="360" w:lineRule="auto"/>
        <w:jc w:val="both"/>
        <w:rPr>
          <w:rFonts w:ascii="Arial" w:eastAsia="ArialMT" w:hAnsi="Arial" w:cs="Arial"/>
          <w:bCs/>
          <w:sz w:val="20"/>
          <w:szCs w:val="20"/>
        </w:rPr>
      </w:pPr>
      <w:r>
        <w:rPr>
          <w:rFonts w:ascii="Arial" w:eastAsia="ArialMT" w:hAnsi="Arial" w:cs="Arial"/>
          <w:bCs/>
          <w:sz w:val="20"/>
          <w:szCs w:val="20"/>
        </w:rPr>
        <w:t xml:space="preserve">Die Dosisleistungswarnleuchte </w:t>
      </w:r>
      <w:proofErr w:type="spellStart"/>
      <w:r>
        <w:rPr>
          <w:rFonts w:ascii="Arial" w:eastAsia="ArialMT" w:hAnsi="Arial" w:cs="Arial"/>
          <w:bCs/>
          <w:sz w:val="20"/>
          <w:szCs w:val="20"/>
        </w:rPr>
        <w:t>GammaFlash</w:t>
      </w:r>
      <w:proofErr w:type="spellEnd"/>
      <w:r>
        <w:rPr>
          <w:rFonts w:ascii="Arial" w:eastAsia="ArialMT" w:hAnsi="Arial" w:cs="Arial"/>
          <w:bCs/>
          <w:sz w:val="20"/>
          <w:szCs w:val="20"/>
        </w:rPr>
        <w:t xml:space="preserve"> warnt optisch und akustisch, wenn die Dosisleistung einen Schwellwert von </w:t>
      </w:r>
      <w:r>
        <w:rPr>
          <w:rFonts w:ascii="Arial" w:eastAsia="ArialMT" w:hAnsi="Arial" w:cs="Arial"/>
          <w:sz w:val="20"/>
          <w:szCs w:val="20"/>
        </w:rPr>
        <w:t xml:space="preserve">25 </w:t>
      </w:r>
      <w:proofErr w:type="spellStart"/>
      <w:r>
        <w:rPr>
          <w:rFonts w:ascii="Arial" w:eastAsia="ArialMT" w:hAnsi="Arial" w:cs="Arial"/>
          <w:sz w:val="20"/>
          <w:szCs w:val="20"/>
        </w:rPr>
        <w:t>μSv</w:t>
      </w:r>
      <w:proofErr w:type="spellEnd"/>
      <w:r>
        <w:rPr>
          <w:rFonts w:ascii="Arial" w:eastAsia="ArialMT" w:hAnsi="Arial" w:cs="Arial"/>
          <w:sz w:val="20"/>
          <w:szCs w:val="20"/>
        </w:rPr>
        <w:t>/h überschreitet.</w:t>
      </w:r>
    </w:p>
    <w:p w14:paraId="146F1086" w14:textId="0F505AE2" w:rsidR="00252488" w:rsidRDefault="00503557">
      <w:pPr>
        <w:suppressAutoHyphens w:val="0"/>
        <w:spacing w:before="113" w:line="360" w:lineRule="auto"/>
        <w:jc w:val="both"/>
        <w:rPr>
          <w:rFonts w:ascii="Arial" w:hAnsi="Arial"/>
          <w:sz w:val="22"/>
          <w:szCs w:val="22"/>
        </w:rPr>
      </w:pPr>
      <w:r>
        <w:rPr>
          <w:rFonts w:ascii="Arial" w:hAnsi="Arial"/>
          <w:sz w:val="22"/>
          <w:szCs w:val="22"/>
        </w:rPr>
        <w:t>(2.</w:t>
      </w:r>
      <w:r w:rsidR="008C5CD6">
        <w:rPr>
          <w:rFonts w:ascii="Arial" w:hAnsi="Arial"/>
          <w:sz w:val="22"/>
          <w:szCs w:val="22"/>
        </w:rPr>
        <w:t>270</w:t>
      </w:r>
      <w:r>
        <w:rPr>
          <w:rFonts w:ascii="Arial" w:hAnsi="Arial"/>
          <w:sz w:val="22"/>
          <w:szCs w:val="22"/>
        </w:rPr>
        <w:t xml:space="preserve"> Zeichen inkl. Leerzeichen)</w:t>
      </w:r>
    </w:p>
    <w:p w14:paraId="03D98EF2" w14:textId="77777777" w:rsidR="00252488" w:rsidRDefault="00252488">
      <w:pPr>
        <w:suppressAutoHyphens w:val="0"/>
        <w:spacing w:before="113" w:line="360" w:lineRule="auto"/>
        <w:jc w:val="both"/>
        <w:rPr>
          <w:rFonts w:ascii="Arial" w:hAnsi="Arial"/>
          <w:b/>
          <w:sz w:val="22"/>
          <w:szCs w:val="22"/>
        </w:rPr>
      </w:pPr>
    </w:p>
    <w:p w14:paraId="4C4D839C" w14:textId="77777777" w:rsidR="00252488" w:rsidRDefault="00503557">
      <w:pPr>
        <w:suppressAutoHyphens w:val="0"/>
        <w:spacing w:before="113" w:line="360" w:lineRule="auto"/>
        <w:jc w:val="both"/>
        <w:rPr>
          <w:rFonts w:ascii="Arial" w:hAnsi="Arial"/>
          <w:b/>
          <w:sz w:val="22"/>
          <w:szCs w:val="22"/>
        </w:rPr>
      </w:pPr>
      <w:r>
        <w:rPr>
          <w:rFonts w:ascii="Arial" w:hAnsi="Arial"/>
          <w:b/>
          <w:sz w:val="22"/>
          <w:szCs w:val="22"/>
        </w:rPr>
        <w:t xml:space="preserve">Über die GRAETZ </w:t>
      </w:r>
      <w:proofErr w:type="spellStart"/>
      <w:r>
        <w:rPr>
          <w:rFonts w:ascii="Arial" w:hAnsi="Arial"/>
          <w:b/>
          <w:sz w:val="22"/>
          <w:szCs w:val="22"/>
        </w:rPr>
        <w:t>Strahlungsmeßtechnik</w:t>
      </w:r>
      <w:proofErr w:type="spellEnd"/>
      <w:r>
        <w:rPr>
          <w:rFonts w:ascii="Arial" w:hAnsi="Arial"/>
          <w:b/>
          <w:sz w:val="22"/>
          <w:szCs w:val="22"/>
        </w:rPr>
        <w:t xml:space="preserve"> GmbH</w:t>
      </w:r>
    </w:p>
    <w:p w14:paraId="54BEE7E0" w14:textId="77777777" w:rsidR="00252488" w:rsidRDefault="00503557">
      <w:pPr>
        <w:pStyle w:val="Standard1"/>
        <w:tabs>
          <w:tab w:val="left" w:pos="708"/>
          <w:tab w:val="left" w:pos="1416"/>
          <w:tab w:val="left" w:pos="2124"/>
          <w:tab w:val="left" w:pos="2832"/>
          <w:tab w:val="left" w:pos="3540"/>
          <w:tab w:val="left" w:pos="4248"/>
          <w:tab w:val="left" w:pos="4956"/>
          <w:tab w:val="left" w:pos="5664"/>
          <w:tab w:val="left" w:pos="6372"/>
        </w:tabs>
        <w:rPr>
          <w:rFonts w:ascii="Arial" w:hAnsi="Arial"/>
          <w:sz w:val="20"/>
        </w:rPr>
      </w:pPr>
      <w:r>
        <w:rPr>
          <w:rFonts w:ascii="Arial" w:hAnsi="Arial"/>
          <w:sz w:val="20"/>
        </w:rPr>
        <w:t>Seit über 70 Jahren entwickelt, produziert und vertreibt GRAETZ für die Messung und Erfassung von Alpha-, Beta- und Gammastrahlung tragbare, batteriebetriebene Dosisleistungsmess- und Warngeräte sowie Dosismess- und Warngeräte für</w:t>
      </w:r>
      <w:r>
        <w:rPr>
          <w:rFonts w:ascii="Arial" w:hAnsi="Arial"/>
          <w:sz w:val="20"/>
        </w:rPr>
        <w:t xml:space="preserve"> den persönlichen Strahlenschutz und stationäre Raumüberwachungsmonitore. Das Vertriebs- und Fertigungsprogramm besteht aus bauartzugelassenen und damit eichfähigen Geräten für verschiedene Einsatzbereiche etwa bei Feuerwehren, Zivil- und Katastrophenschut</w:t>
      </w:r>
      <w:r>
        <w:rPr>
          <w:rFonts w:ascii="Arial" w:hAnsi="Arial"/>
          <w:sz w:val="20"/>
        </w:rPr>
        <w:t>z, in der Nuklearmedizin sowie in Forschung und Industrie.</w:t>
      </w:r>
    </w:p>
    <w:p w14:paraId="3AD2699F" w14:textId="77777777" w:rsidR="00252488" w:rsidRDefault="00252488">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rPr>
          <w:rFonts w:ascii="Arial" w:hAnsi="Arial"/>
          <w:strike/>
          <w:sz w:val="22"/>
        </w:rPr>
      </w:pPr>
    </w:p>
    <w:p w14:paraId="352ACC28" w14:textId="77777777" w:rsidR="00252488" w:rsidRDefault="0050355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rPr>
          <w:rFonts w:ascii="Arial" w:hAnsi="Arial"/>
          <w:b/>
          <w:sz w:val="22"/>
        </w:rPr>
      </w:pPr>
      <w:r>
        <w:rPr>
          <w:rFonts w:ascii="Arial" w:hAnsi="Arial"/>
          <w:b/>
          <w:sz w:val="22"/>
        </w:rPr>
        <w:t>Abdruck kostenlos – Beleg erbeten.</w:t>
      </w:r>
    </w:p>
    <w:tbl>
      <w:tblPr>
        <w:tblW w:w="7797" w:type="dxa"/>
        <w:tblInd w:w="-108" w:type="dxa"/>
        <w:tblLayout w:type="fixed"/>
        <w:tblCellMar>
          <w:left w:w="0" w:type="dxa"/>
          <w:right w:w="0" w:type="dxa"/>
        </w:tblCellMar>
        <w:tblLook w:val="0000" w:firstRow="0" w:lastRow="0" w:firstColumn="0" w:lastColumn="0" w:noHBand="0" w:noVBand="0"/>
      </w:tblPr>
      <w:tblGrid>
        <w:gridCol w:w="3539"/>
        <w:gridCol w:w="4258"/>
      </w:tblGrid>
      <w:tr w:rsidR="00252488" w14:paraId="1605AE8E" w14:textId="77777777">
        <w:trPr>
          <w:cantSplit/>
          <w:trHeight w:val="1149"/>
        </w:trPr>
        <w:tc>
          <w:tcPr>
            <w:tcW w:w="3539" w:type="dxa"/>
            <w:shd w:val="clear" w:color="auto" w:fill="auto"/>
          </w:tcPr>
          <w:p w14:paraId="45E6FABD" w14:textId="77777777" w:rsidR="00252488" w:rsidRDefault="00503557">
            <w:pPr>
              <w:pStyle w:val="Standard1"/>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val="0"/>
              <w:rPr>
                <w:rFonts w:ascii="Arial" w:hAnsi="Arial"/>
                <w:b/>
                <w:sz w:val="22"/>
              </w:rPr>
            </w:pPr>
            <w:r>
              <w:rPr>
                <w:rFonts w:ascii="Arial" w:hAnsi="Arial"/>
                <w:b/>
                <w:sz w:val="22"/>
              </w:rPr>
              <w:lastRenderedPageBreak/>
              <w:t>Redaktionsanfragen:</w:t>
            </w:r>
          </w:p>
          <w:p w14:paraId="492E0731" w14:textId="77777777" w:rsidR="00252488" w:rsidRDefault="00503557">
            <w:pPr>
              <w:pStyle w:val="Standard1"/>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val="0"/>
              <w:rPr>
                <w:rFonts w:ascii="Arial" w:hAnsi="Arial"/>
                <w:sz w:val="22"/>
              </w:rPr>
            </w:pPr>
            <w:r>
              <w:rPr>
                <w:rFonts w:ascii="Arial" w:hAnsi="Arial"/>
                <w:sz w:val="22"/>
              </w:rPr>
              <w:t>Jörg Lantzsch</w:t>
            </w:r>
          </w:p>
          <w:p w14:paraId="05D6B72D" w14:textId="77777777" w:rsidR="00252488" w:rsidRDefault="00503557">
            <w:pPr>
              <w:pStyle w:val="Standard1"/>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val="0"/>
              <w:rPr>
                <w:rFonts w:ascii="Arial" w:hAnsi="Arial"/>
                <w:sz w:val="22"/>
              </w:rPr>
            </w:pPr>
            <w:r>
              <w:rPr>
                <w:rFonts w:ascii="Arial" w:hAnsi="Arial"/>
                <w:sz w:val="22"/>
              </w:rPr>
              <w:t>Agentur Dr. Lantzsch</w:t>
            </w:r>
          </w:p>
          <w:p w14:paraId="193DDAB2" w14:textId="77777777" w:rsidR="00252488" w:rsidRDefault="00503557">
            <w:pPr>
              <w:pStyle w:val="Standard1"/>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val="0"/>
              <w:rPr>
                <w:rFonts w:ascii="Arial" w:hAnsi="Arial"/>
                <w:sz w:val="22"/>
              </w:rPr>
            </w:pPr>
            <w:r>
              <w:rPr>
                <w:rFonts w:ascii="Arial" w:hAnsi="Arial"/>
                <w:sz w:val="22"/>
              </w:rPr>
              <w:t>Schwalbacher Straße 74</w:t>
            </w:r>
          </w:p>
          <w:p w14:paraId="74FB8B9E" w14:textId="77777777" w:rsidR="00252488" w:rsidRDefault="00503557">
            <w:pPr>
              <w:pStyle w:val="Standard1"/>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val="0"/>
              <w:rPr>
                <w:rFonts w:ascii="Arial" w:hAnsi="Arial"/>
                <w:sz w:val="22"/>
              </w:rPr>
            </w:pPr>
            <w:r>
              <w:rPr>
                <w:rFonts w:ascii="Arial" w:hAnsi="Arial"/>
                <w:sz w:val="22"/>
              </w:rPr>
              <w:t>65183 Wiesbaden</w:t>
            </w:r>
          </w:p>
          <w:p w14:paraId="71282C00" w14:textId="77777777" w:rsidR="00252488" w:rsidRDefault="00503557">
            <w:pPr>
              <w:pStyle w:val="Standard1"/>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val="0"/>
              <w:rPr>
                <w:rFonts w:ascii="Arial" w:hAnsi="Arial"/>
                <w:sz w:val="22"/>
              </w:rPr>
            </w:pPr>
            <w:r>
              <w:rPr>
                <w:rFonts w:ascii="Arial" w:hAnsi="Arial"/>
                <w:sz w:val="22"/>
              </w:rPr>
              <w:t>Tel.: 0611-205 93 71</w:t>
            </w:r>
          </w:p>
          <w:p w14:paraId="2D2CE2BA" w14:textId="77777777" w:rsidR="00252488" w:rsidRDefault="00503557">
            <w:pPr>
              <w:pStyle w:val="Standard1"/>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val="0"/>
              <w:rPr>
                <w:rFonts w:ascii="Arial" w:hAnsi="Arial"/>
                <w:sz w:val="22"/>
              </w:rPr>
            </w:pPr>
            <w:r>
              <w:rPr>
                <w:rFonts w:ascii="Arial" w:hAnsi="Arial"/>
                <w:sz w:val="22"/>
              </w:rPr>
              <w:t xml:space="preserve">E-Mail: </w:t>
            </w:r>
            <w:r>
              <w:rPr>
                <w:rFonts w:ascii="Arial" w:hAnsi="Arial"/>
                <w:sz w:val="22"/>
              </w:rPr>
              <w:t>j.lantzsch@drlantzsch.de</w:t>
            </w:r>
          </w:p>
          <w:p w14:paraId="2E02D49C" w14:textId="77777777" w:rsidR="00252488" w:rsidRDefault="00503557">
            <w:pPr>
              <w:pStyle w:val="Standard1"/>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val="0"/>
              <w:rPr>
                <w:rFonts w:ascii="Arial" w:hAnsi="Arial"/>
                <w:sz w:val="22"/>
              </w:rPr>
            </w:pPr>
            <w:r>
              <w:rPr>
                <w:rFonts w:ascii="Arial" w:hAnsi="Arial"/>
                <w:sz w:val="22"/>
              </w:rPr>
              <w:t>www.drlantzsch.de</w:t>
            </w:r>
          </w:p>
          <w:p w14:paraId="3DA332BF" w14:textId="77777777" w:rsidR="00252488" w:rsidRDefault="00252488">
            <w:pPr>
              <w:pStyle w:val="Standard1"/>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val="0"/>
            </w:pPr>
          </w:p>
        </w:tc>
        <w:tc>
          <w:tcPr>
            <w:tcW w:w="4257" w:type="dxa"/>
            <w:shd w:val="clear" w:color="auto" w:fill="auto"/>
          </w:tcPr>
          <w:p w14:paraId="38DEAD91" w14:textId="77777777" w:rsidR="00252488" w:rsidRDefault="00503557">
            <w:pPr>
              <w:pStyle w:val="Standard1"/>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val="0"/>
              <w:ind w:right="-146"/>
              <w:rPr>
                <w:rFonts w:ascii="Arial" w:hAnsi="Arial"/>
                <w:b/>
                <w:sz w:val="22"/>
              </w:rPr>
            </w:pPr>
            <w:r>
              <w:rPr>
                <w:rFonts w:ascii="Arial" w:hAnsi="Arial"/>
                <w:b/>
                <w:sz w:val="22"/>
              </w:rPr>
              <w:t>Leseranfragen:</w:t>
            </w:r>
          </w:p>
          <w:p w14:paraId="51B567E5" w14:textId="77777777" w:rsidR="00252488" w:rsidRDefault="00503557">
            <w:pPr>
              <w:pStyle w:val="Standard1"/>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val="0"/>
              <w:ind w:right="-146"/>
              <w:rPr>
                <w:rFonts w:ascii="Arial" w:hAnsi="Arial"/>
                <w:sz w:val="22"/>
              </w:rPr>
            </w:pPr>
            <w:r>
              <w:rPr>
                <w:rFonts w:ascii="Arial" w:hAnsi="Arial"/>
                <w:sz w:val="22"/>
              </w:rPr>
              <w:t xml:space="preserve">GRAETZ </w:t>
            </w:r>
            <w:proofErr w:type="spellStart"/>
            <w:r>
              <w:rPr>
                <w:rFonts w:ascii="Arial" w:hAnsi="Arial"/>
                <w:sz w:val="22"/>
              </w:rPr>
              <w:t>Strahlungsmeßtechnik</w:t>
            </w:r>
            <w:proofErr w:type="spellEnd"/>
            <w:r>
              <w:rPr>
                <w:rFonts w:ascii="Arial" w:hAnsi="Arial"/>
                <w:sz w:val="22"/>
              </w:rPr>
              <w:t xml:space="preserve"> GmbH</w:t>
            </w:r>
          </w:p>
          <w:p w14:paraId="375F9C53" w14:textId="77777777" w:rsidR="00252488" w:rsidRDefault="00503557">
            <w:pPr>
              <w:pStyle w:val="Standard1"/>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val="0"/>
              <w:ind w:right="-146"/>
              <w:rPr>
                <w:rFonts w:ascii="Arial" w:hAnsi="Arial"/>
                <w:sz w:val="22"/>
              </w:rPr>
            </w:pPr>
            <w:proofErr w:type="spellStart"/>
            <w:r>
              <w:rPr>
                <w:rFonts w:ascii="Arial" w:hAnsi="Arial"/>
                <w:sz w:val="22"/>
              </w:rPr>
              <w:t>Westiger</w:t>
            </w:r>
            <w:proofErr w:type="spellEnd"/>
            <w:r>
              <w:rPr>
                <w:rFonts w:ascii="Arial" w:hAnsi="Arial"/>
                <w:sz w:val="22"/>
              </w:rPr>
              <w:t xml:space="preserve"> Straße 172</w:t>
            </w:r>
          </w:p>
          <w:p w14:paraId="69FCF7B6" w14:textId="77777777" w:rsidR="00252488" w:rsidRDefault="00503557">
            <w:pPr>
              <w:pStyle w:val="Standard1"/>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val="0"/>
              <w:ind w:right="-146"/>
              <w:rPr>
                <w:rFonts w:ascii="Arial" w:hAnsi="Arial"/>
                <w:sz w:val="22"/>
              </w:rPr>
            </w:pPr>
            <w:r>
              <w:rPr>
                <w:rFonts w:ascii="Arial" w:hAnsi="Arial"/>
                <w:sz w:val="22"/>
              </w:rPr>
              <w:t>58762 Altena</w:t>
            </w:r>
          </w:p>
          <w:p w14:paraId="28B7FFF9" w14:textId="77777777" w:rsidR="00252488" w:rsidRDefault="00503557">
            <w:pPr>
              <w:pStyle w:val="Standard1"/>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val="0"/>
              <w:ind w:right="-146"/>
              <w:rPr>
                <w:rFonts w:ascii="Arial" w:hAnsi="Arial"/>
                <w:sz w:val="22"/>
              </w:rPr>
            </w:pPr>
            <w:r>
              <w:rPr>
                <w:rFonts w:ascii="Arial" w:hAnsi="Arial"/>
                <w:sz w:val="22"/>
              </w:rPr>
              <w:t>Tel.: 02352-7007-0</w:t>
            </w:r>
          </w:p>
          <w:p w14:paraId="35E3BACA" w14:textId="77777777" w:rsidR="00252488" w:rsidRDefault="00503557">
            <w:pPr>
              <w:pStyle w:val="Standard1"/>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val="0"/>
              <w:ind w:right="-146"/>
              <w:rPr>
                <w:rFonts w:ascii="Arial" w:hAnsi="Arial"/>
                <w:sz w:val="22"/>
              </w:rPr>
            </w:pPr>
            <w:r>
              <w:rPr>
                <w:rFonts w:ascii="Arial" w:hAnsi="Arial"/>
                <w:sz w:val="22"/>
              </w:rPr>
              <w:t>E-Mail: info@graetz.com</w:t>
            </w:r>
          </w:p>
          <w:p w14:paraId="7C81AE39" w14:textId="77777777" w:rsidR="00252488" w:rsidRDefault="00503557">
            <w:pPr>
              <w:pStyle w:val="Standard1"/>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uppressAutoHyphens w:val="0"/>
              <w:ind w:right="-146"/>
              <w:rPr>
                <w:rFonts w:ascii="Arial" w:hAnsi="Arial"/>
                <w:sz w:val="22"/>
              </w:rPr>
            </w:pPr>
            <w:r>
              <w:rPr>
                <w:rFonts w:ascii="Arial" w:hAnsi="Arial"/>
                <w:sz w:val="22"/>
              </w:rPr>
              <w:t>www.graetz.com</w:t>
            </w:r>
          </w:p>
        </w:tc>
      </w:tr>
    </w:tbl>
    <w:p w14:paraId="73063C26" w14:textId="77777777" w:rsidR="00252488" w:rsidRDefault="00252488">
      <w:pPr>
        <w:suppressAutoHyphens w:val="0"/>
        <w:rPr>
          <w:rFonts w:ascii="Arial" w:hAnsi="Arial"/>
          <w:sz w:val="22"/>
          <w:szCs w:val="22"/>
        </w:rPr>
      </w:pPr>
    </w:p>
    <w:sectPr w:rsidR="00252488">
      <w:headerReference w:type="even" r:id="rId8"/>
      <w:headerReference w:type="default" r:id="rId9"/>
      <w:footerReference w:type="default" r:id="rId10"/>
      <w:headerReference w:type="first" r:id="rId11"/>
      <w:pgSz w:w="11906" w:h="16838"/>
      <w:pgMar w:top="2521" w:right="3402" w:bottom="1276" w:left="1418" w:header="680" w:footer="28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1FC79" w14:textId="77777777" w:rsidR="00503557" w:rsidRDefault="00503557">
      <w:r>
        <w:separator/>
      </w:r>
    </w:p>
  </w:endnote>
  <w:endnote w:type="continuationSeparator" w:id="0">
    <w:p w14:paraId="6EAF4B60" w14:textId="77777777" w:rsidR="00503557" w:rsidRDefault="00503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4D"/>
    <w:family w:val="swiss"/>
    <w:pitch w:val="variable"/>
    <w:sig w:usb0="00000003" w:usb1="00000000" w:usb2="00000000" w:usb3="00000000" w:csb0="00000001" w:csb1="00000000"/>
  </w:font>
  <w:font w:name="Arial (W1)">
    <w:altName w:val="Arial"/>
    <w:panose1 w:val="020B0604020202020204"/>
    <w:charset w:val="00"/>
    <w:family w:val="roman"/>
    <w:pitch w:val="variable"/>
  </w:font>
  <w:font w:name="ヒラギノ角ゴ Pro W3">
    <w:panose1 w:val="020B0300000000000000"/>
    <w:charset w:val="80"/>
    <w:family w:val="roman"/>
    <w:notTrueType/>
    <w:pitch w:val="default"/>
  </w:font>
  <w:font w:name="ArialMT">
    <w:panose1 w:val="020B06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FDB4" w14:textId="77777777" w:rsidR="00252488" w:rsidRDefault="00252488">
    <w:pPr>
      <w:pStyle w:val="Kopfzeile"/>
    </w:pPr>
  </w:p>
  <w:p w14:paraId="1F3A8576" w14:textId="430B2251" w:rsidR="00252488" w:rsidRDefault="00503557">
    <w:pPr>
      <w:pStyle w:val="Kopfzeile"/>
    </w:pPr>
    <w:r>
      <w:fldChar w:fldCharType="begin"/>
    </w:r>
    <w:r>
      <w:instrText>FILENAME</w:instrText>
    </w:r>
    <w:r>
      <w:fldChar w:fldCharType="separate"/>
    </w:r>
    <w:r w:rsidR="008C5CD6">
      <w:rPr>
        <w:noProof/>
      </w:rPr>
      <w:t>GRPM2101 GammaFlash_final.docx</w:t>
    </w:r>
    <w:r>
      <w:fldChar w:fldCharType="end"/>
    </w:r>
    <w:r>
      <w:rPr>
        <w:rFonts w:ascii="Arial" w:hAnsi="Arial"/>
      </w:rPr>
      <w:tab/>
    </w:r>
    <w:r>
      <w:rPr>
        <w:rStyle w:val="Seitenzahl"/>
      </w:rPr>
      <w:fldChar w:fldCharType="begin"/>
    </w:r>
    <w:r>
      <w:rPr>
        <w:rStyle w:val="Seitenzahl"/>
      </w:rPr>
      <w:instrText>PAGE</w:instrText>
    </w:r>
    <w:r>
      <w:rPr>
        <w:rStyle w:val="Seitenzahl"/>
      </w:rPr>
      <w:fldChar w:fldCharType="separate"/>
    </w:r>
    <w:r>
      <w:rPr>
        <w:rStyle w:val="Seitenzahl"/>
      </w:rPr>
      <w:t>3</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E768A" w14:textId="77777777" w:rsidR="00503557" w:rsidRDefault="00503557">
      <w:r>
        <w:separator/>
      </w:r>
    </w:p>
  </w:footnote>
  <w:footnote w:type="continuationSeparator" w:id="0">
    <w:p w14:paraId="0CC83DC1" w14:textId="77777777" w:rsidR="00503557" w:rsidRDefault="005035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2B692" w14:textId="77777777" w:rsidR="00D817AE" w:rsidRDefault="00D817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CB7F" w14:textId="77777777" w:rsidR="00252488" w:rsidRDefault="00503557">
    <w:pPr>
      <w:pStyle w:val="Kopfzeile"/>
      <w:ind w:right="-1987"/>
      <w:rPr>
        <w:rFonts w:ascii="Arial Narrow" w:hAnsi="Arial Narrow" w:cs="Arial"/>
        <w:b/>
        <w:bCs/>
      </w:rPr>
    </w:pPr>
    <w:r>
      <w:rPr>
        <w:noProof/>
      </w:rPr>
      <w:drawing>
        <wp:anchor distT="0" distB="0" distL="0" distR="0" simplePos="0" relativeHeight="4" behindDoc="1" locked="0" layoutInCell="0" allowOverlap="1" wp14:anchorId="5283C55A" wp14:editId="2436EC7B">
          <wp:simplePos x="0" y="0"/>
          <wp:positionH relativeFrom="column">
            <wp:posOffset>3354705</wp:posOffset>
          </wp:positionH>
          <wp:positionV relativeFrom="paragraph">
            <wp:posOffset>-79375</wp:posOffset>
          </wp:positionV>
          <wp:extent cx="1137285" cy="568960"/>
          <wp:effectExtent l="0" t="0" r="0" b="0"/>
          <wp:wrapNone/>
          <wp:docPr id="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9"/>
                  <pic:cNvPicPr>
                    <a:picLocks noChangeAspect="1" noChangeArrowheads="1"/>
                  </pic:cNvPicPr>
                </pic:nvPicPr>
                <pic:blipFill>
                  <a:blip r:embed="rId1"/>
                  <a:srcRect t="2627" b="2627"/>
                  <a:stretch>
                    <a:fillRect/>
                  </a:stretch>
                </pic:blipFill>
                <pic:spPr bwMode="auto">
                  <a:xfrm>
                    <a:off x="0" y="0"/>
                    <a:ext cx="1137285" cy="568960"/>
                  </a:xfrm>
                  <a:prstGeom prst="rect">
                    <a:avLst/>
                  </a:prstGeom>
                </pic:spPr>
              </pic:pic>
            </a:graphicData>
          </a:graphic>
        </wp:anchor>
      </w:drawing>
    </w:r>
    <w:r>
      <w:rPr>
        <w:rFonts w:ascii="Arial Narrow" w:hAnsi="Arial Narrow" w:cs="Arial"/>
        <w:b/>
        <w:bCs/>
      </w:rPr>
      <w:t xml:space="preserve">Pressemitteilung </w:t>
    </w:r>
    <w:r>
      <w:rPr>
        <w:rFonts w:ascii="Arial Narrow" w:hAnsi="Arial Narrow" w:cs="Arial"/>
        <w:b/>
        <w:bCs/>
      </w:rPr>
      <w:br/>
    </w:r>
    <w:r>
      <w:rPr>
        <w:rFonts w:ascii="Arial Narrow" w:hAnsi="Arial Narrow" w:cs="Arial"/>
        <w:b/>
        <w:bCs/>
      </w:rPr>
      <w:t xml:space="preserve">GRAETZ </w:t>
    </w:r>
    <w:proofErr w:type="spellStart"/>
    <w:r>
      <w:rPr>
        <w:rFonts w:ascii="Arial Narrow" w:hAnsi="Arial Narrow" w:cs="Arial"/>
        <w:b/>
        <w:bCs/>
      </w:rPr>
      <w:t>Strahlungsmeßtechnik</w:t>
    </w:r>
    <w:proofErr w:type="spellEnd"/>
    <w:r>
      <w:rPr>
        <w:rFonts w:ascii="Arial Narrow" w:hAnsi="Arial Narrow" w:cs="Arial"/>
        <w:b/>
        <w:bCs/>
      </w:rPr>
      <w:t xml:space="preserve"> GmbH </w:t>
    </w:r>
  </w:p>
  <w:p w14:paraId="6419AF0F" w14:textId="77777777" w:rsidR="00252488" w:rsidRDefault="00252488">
    <w:pPr>
      <w:pStyle w:val="Kopfzeile"/>
      <w:ind w:right="12"/>
      <w:jc w:val="right"/>
    </w:pPr>
  </w:p>
  <w:p w14:paraId="485DD02E" w14:textId="77777777" w:rsidR="00252488" w:rsidRDefault="00503557">
    <w:pPr>
      <w:pStyle w:val="Kopfzeile"/>
      <w:ind w:firstLine="12"/>
      <w:jc w:val="right"/>
      <w:rPr>
        <w:rFonts w:ascii="Arial" w:hAnsi="Arial" w:cs="Arial"/>
        <w:sz w:val="20"/>
        <w:szCs w:val="20"/>
      </w:rPr>
    </w:pPr>
    <w:r>
      <w:rPr>
        <w:rFonts w:ascii="Arial" w:hAnsi="Arial" w:cs="Arial"/>
        <w:sz w:val="20"/>
        <w:szCs w:val="20"/>
      </w:rPr>
      <w:tab/>
    </w:r>
  </w:p>
  <w:p w14:paraId="5208469B" w14:textId="77777777" w:rsidR="00252488" w:rsidRDefault="00503557">
    <w:pPr>
      <w:pStyle w:val="Kopfzeile"/>
      <w:ind w:firstLine="12"/>
      <w:jc w:val="right"/>
      <w:rPr>
        <w:rFonts w:ascii="Arial" w:hAnsi="Arial" w:cs="Arial"/>
        <w:sz w:val="20"/>
        <w:szCs w:val="20"/>
      </w:rPr>
    </w:pPr>
    <w:r>
      <w:rPr>
        <w:rFonts w:ascii="Arial" w:hAnsi="Arial" w:cs="Arial"/>
        <w:sz w:val="20"/>
        <w:szCs w:val="20"/>
      </w:rPr>
      <w:t>Oktober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9F20" w14:textId="77777777" w:rsidR="00D817AE" w:rsidRDefault="00D817A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embedSystemFonts/>
  <w:proofState w:spelling="clean" w:grammar="clean"/>
  <w:defaultTabStop w:val="708"/>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488"/>
    <w:rsid w:val="001F4E25"/>
    <w:rsid w:val="00252488"/>
    <w:rsid w:val="00503557"/>
    <w:rsid w:val="008C5CD6"/>
    <w:rsid w:val="00D817AE"/>
  </w:rsids>
  <m:mathPr>
    <m:mathFont m:val="Cambria Math"/>
    <m:brkBin m:val="before"/>
    <m:brkBinSub m:val="--"/>
    <m:smallFrac m:val="0"/>
    <m:dispDef/>
    <m:lMargin m:val="0"/>
    <m:rMargin m:val="0"/>
    <m:defJc m:val="centerGroup"/>
    <m:wrapIndent m:val="1440"/>
    <m:intLim m:val="subSup"/>
    <m:naryLim m:val="undOvr"/>
  </m:mathPr>
  <w:themeFontLang w:val="de-DE"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57ED3"/>
  <w15:docId w15:val="{19C70649-4080-0A46-85B2-9776CE8D1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Absatz-Standardschriftart2">
    <w:name w:val="Absatz-Standardschriftart2"/>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Internetverknpfung">
    <w:name w:val="Internetverknüpfung"/>
    <w:rPr>
      <w:color w:val="0000FF"/>
      <w:u w:val="single"/>
    </w:rPr>
  </w:style>
  <w:style w:type="character" w:styleId="Seitenzahl">
    <w:name w:val="page number"/>
    <w:basedOn w:val="Absatz-Standardschriftart1"/>
    <w:qFormat/>
  </w:style>
  <w:style w:type="character" w:customStyle="1" w:styleId="SprechblasentextZchn">
    <w:name w:val="Sprechblasentext Zchn"/>
    <w:basedOn w:val="Absatz-Standardschriftart"/>
    <w:link w:val="Sprechblasentext"/>
    <w:uiPriority w:val="99"/>
    <w:semiHidden/>
    <w:qFormat/>
    <w:rsid w:val="00166E9C"/>
    <w:rPr>
      <w:rFonts w:ascii="Lucida Grande" w:hAnsi="Lucida Grande"/>
      <w:sz w:val="18"/>
      <w:szCs w:val="18"/>
      <w:lang w:eastAsia="ar-SA"/>
    </w:rPr>
  </w:style>
  <w:style w:type="character" w:styleId="Kommentarzeichen">
    <w:name w:val="annotation reference"/>
    <w:basedOn w:val="Absatz-Standardschriftart"/>
    <w:uiPriority w:val="99"/>
    <w:semiHidden/>
    <w:unhideWhenUsed/>
    <w:qFormat/>
    <w:rsid w:val="00DA6C2C"/>
    <w:rPr>
      <w:sz w:val="16"/>
      <w:szCs w:val="16"/>
    </w:rPr>
  </w:style>
  <w:style w:type="character" w:customStyle="1" w:styleId="KommentartextZchn">
    <w:name w:val="Kommentartext Zchn"/>
    <w:basedOn w:val="Absatz-Standardschriftart"/>
    <w:link w:val="Kommentartext"/>
    <w:uiPriority w:val="99"/>
    <w:semiHidden/>
    <w:qFormat/>
    <w:rsid w:val="00DA6C2C"/>
    <w:rPr>
      <w:lang w:eastAsia="ar-SA"/>
    </w:rPr>
  </w:style>
  <w:style w:type="character" w:customStyle="1" w:styleId="KommentarthemaZchn">
    <w:name w:val="Kommentarthema Zchn"/>
    <w:basedOn w:val="KommentartextZchn"/>
    <w:link w:val="Kommentarthema"/>
    <w:uiPriority w:val="99"/>
    <w:semiHidden/>
    <w:qFormat/>
    <w:rsid w:val="00DA6C2C"/>
    <w:rPr>
      <w:b/>
      <w:bCs/>
      <w:lang w:eastAsia="ar-SA"/>
    </w:rPr>
  </w:style>
  <w:style w:type="character" w:customStyle="1" w:styleId="apple-converted-space">
    <w:name w:val="apple-converted-space"/>
    <w:basedOn w:val="Absatz-Standardschriftart"/>
    <w:qFormat/>
    <w:rsid w:val="001E3FCF"/>
  </w:style>
  <w:style w:type="character" w:styleId="Fett">
    <w:name w:val="Strong"/>
    <w:basedOn w:val="Absatz-Standardschriftart"/>
    <w:uiPriority w:val="22"/>
    <w:qFormat/>
    <w:rsid w:val="00743DCD"/>
    <w:rPr>
      <w:b/>
      <w:bCs/>
    </w:rPr>
  </w:style>
  <w:style w:type="character" w:styleId="NichtaufgelsteErwhnung">
    <w:name w:val="Unresolved Mention"/>
    <w:basedOn w:val="Absatz-Standardschriftart"/>
    <w:uiPriority w:val="99"/>
    <w:semiHidden/>
    <w:unhideWhenUsed/>
    <w:qFormat/>
    <w:rsid w:val="003F5F0E"/>
    <w:rPr>
      <w:color w:val="605E5C"/>
      <w:shd w:val="clear" w:color="auto" w:fill="E1DFDD"/>
    </w:rPr>
  </w:style>
  <w:style w:type="paragraph" w:customStyle="1" w:styleId="berschrift">
    <w:name w:val="Überschrift"/>
    <w:basedOn w:val="Standard"/>
    <w:next w:val="Textkrper"/>
    <w:qFormat/>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rFonts w:cs="Lucida Sans"/>
      <w:i/>
      <w:iCs/>
    </w:rPr>
  </w:style>
  <w:style w:type="paragraph" w:customStyle="1" w:styleId="Verzeichnis">
    <w:name w:val="Verzeichnis"/>
    <w:basedOn w:val="Standard"/>
    <w:qFormat/>
    <w:pPr>
      <w:suppressLineNumbers/>
    </w:pPr>
  </w:style>
  <w:style w:type="paragraph" w:customStyle="1" w:styleId="Beschriftung3">
    <w:name w:val="Beschriftung3"/>
    <w:basedOn w:val="Standard"/>
    <w:qFormat/>
    <w:pPr>
      <w:suppressLineNumbers/>
      <w:spacing w:before="120" w:after="120"/>
    </w:pPr>
    <w:rPr>
      <w:rFonts w:ascii="Arial (W1)" w:hAnsi="Arial (W1)" w:cs="Tahoma"/>
      <w:i/>
      <w:iCs/>
    </w:rPr>
  </w:style>
  <w:style w:type="paragraph" w:customStyle="1" w:styleId="Beschriftung2">
    <w:name w:val="Beschriftung2"/>
    <w:basedOn w:val="Standard"/>
    <w:qFormat/>
    <w:pPr>
      <w:suppressLineNumbers/>
      <w:spacing w:before="120" w:after="120"/>
    </w:pPr>
    <w:rPr>
      <w:rFonts w:ascii="Arial (W1)" w:hAnsi="Arial (W1)" w:cs="Tahoma"/>
      <w:i/>
      <w:iCs/>
    </w:rPr>
  </w:style>
  <w:style w:type="paragraph" w:customStyle="1" w:styleId="Beschriftung1">
    <w:name w:val="Beschriftung1"/>
    <w:basedOn w:val="Standard"/>
    <w:qFormat/>
    <w:pPr>
      <w:suppressLineNumbers/>
      <w:spacing w:before="120" w:after="120"/>
    </w:pPr>
    <w:rPr>
      <w:i/>
      <w:iCs/>
    </w:rPr>
  </w:style>
  <w:style w:type="paragraph" w:customStyle="1" w:styleId="Kopf-undFuzeile">
    <w:name w:val="Kopf- und Fußzeile"/>
    <w:basedOn w:val="Standard"/>
    <w:qForma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Standard1">
    <w:name w:val="Standard1"/>
    <w:qFormat/>
    <w:rsid w:val="00B43766"/>
    <w:rPr>
      <w:rFonts w:eastAsia="ヒラギノ角ゴ Pro W3"/>
      <w:color w:val="000000"/>
      <w:sz w:val="24"/>
    </w:rPr>
  </w:style>
  <w:style w:type="paragraph" w:styleId="Sprechblasentext">
    <w:name w:val="Balloon Text"/>
    <w:basedOn w:val="Standard"/>
    <w:link w:val="SprechblasentextZchn"/>
    <w:uiPriority w:val="99"/>
    <w:semiHidden/>
    <w:unhideWhenUsed/>
    <w:qFormat/>
    <w:rsid w:val="00166E9C"/>
    <w:rPr>
      <w:rFonts w:ascii="Lucida Grande" w:hAnsi="Lucida Grande"/>
      <w:sz w:val="18"/>
      <w:szCs w:val="18"/>
    </w:rPr>
  </w:style>
  <w:style w:type="paragraph" w:styleId="Kommentartext">
    <w:name w:val="annotation text"/>
    <w:basedOn w:val="Standard"/>
    <w:link w:val="KommentartextZchn"/>
    <w:uiPriority w:val="99"/>
    <w:semiHidden/>
    <w:unhideWhenUsed/>
    <w:qFormat/>
    <w:rsid w:val="00DA6C2C"/>
    <w:rPr>
      <w:sz w:val="20"/>
      <w:szCs w:val="20"/>
    </w:rPr>
  </w:style>
  <w:style w:type="paragraph" w:styleId="Kommentarthema">
    <w:name w:val="annotation subject"/>
    <w:basedOn w:val="Kommentartext"/>
    <w:next w:val="Kommentartext"/>
    <w:link w:val="KommentarthemaZchn"/>
    <w:uiPriority w:val="99"/>
    <w:semiHidden/>
    <w:unhideWhenUsed/>
    <w:qFormat/>
    <w:rsid w:val="00DA6C2C"/>
    <w:rPr>
      <w:b/>
      <w:bCs/>
    </w:rPr>
  </w:style>
  <w:style w:type="paragraph" w:styleId="StandardWeb">
    <w:name w:val="Normal (Web)"/>
    <w:basedOn w:val="Standard"/>
    <w:uiPriority w:val="99"/>
    <w:semiHidden/>
    <w:unhideWhenUsed/>
    <w:qFormat/>
    <w:rsid w:val="001E3FCF"/>
    <w:pPr>
      <w:suppressAutoHyphens w:val="0"/>
      <w:spacing w:beforeAutospacing="1" w:afterAutospacing="1"/>
    </w:pPr>
    <w:rPr>
      <w:sz w:val="20"/>
      <w:szCs w:val="20"/>
      <w:lang w:eastAsia="de-DE"/>
    </w:rPr>
  </w:style>
  <w:style w:type="paragraph" w:styleId="Listenabsatz">
    <w:name w:val="List Paragraph"/>
    <w:basedOn w:val="Standard"/>
    <w:uiPriority w:val="34"/>
    <w:qFormat/>
    <w:rsid w:val="002B6E65"/>
    <w:pPr>
      <w:ind w:left="720"/>
      <w:contextualSpacing/>
    </w:pPr>
  </w:style>
  <w:style w:type="table" w:styleId="Tabellenraster">
    <w:name w:val="Table Grid"/>
    <w:basedOn w:val="NormaleTabelle"/>
    <w:uiPriority w:val="59"/>
    <w:rsid w:val="00430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BE773-D04C-E141-B66B-A62B72404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457</Words>
  <Characters>2798</Characters>
  <Application>Microsoft Office Word</Application>
  <DocSecurity>0</DocSecurity>
  <Lines>47</Lines>
  <Paragraphs>18</Paragraphs>
  <ScaleCrop>false</ScaleCrop>
  <Company>Agentur Dr. Lantzsch</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GEFERTEC</dc:title>
  <dc:subject/>
  <dc:creator>Jörg Lantzsch</dc:creator>
  <dc:description/>
  <cp:lastModifiedBy>j.lantzsch</cp:lastModifiedBy>
  <cp:revision>3</cp:revision>
  <cp:lastPrinted>2021-09-30T14:15:00Z</cp:lastPrinted>
  <dcterms:created xsi:type="dcterms:W3CDTF">2021-10-01T08:36:00Z</dcterms:created>
  <dcterms:modified xsi:type="dcterms:W3CDTF">2021-10-01T08:58:00Z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Agentur Dr. Lantzsch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NewReviewCycle">
    <vt:lpwstr/>
  </property>
</Properties>
</file>